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NIH DETAILED BUDGET JUSTIFICATION</w:t>
      </w:r>
    </w:p>
    <w:p w:rsidR="00562592" w:rsidRPr="00562592" w:rsidRDefault="00562592" w:rsidP="00562592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eastAsiaTheme="minorEastAsia" w:hAnsi="Arial" w:cs="Arial"/>
        </w:rPr>
      </w:pPr>
      <w:bookmarkStart w:id="0" w:name="_GoBack"/>
      <w:bookmarkEnd w:id="0"/>
      <w:r w:rsidRPr="00562592">
        <w:rPr>
          <w:rFonts w:ascii="Arial" w:eastAsiaTheme="minorEastAsia" w:hAnsi="Arial" w:cs="Arial"/>
          <w:b/>
          <w:bCs/>
        </w:rPr>
        <w:t>(Prepared for NCURA Regional Meeting)</w:t>
      </w:r>
    </w:p>
    <w:p w:rsidR="00562592" w:rsidRDefault="0056259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Personnel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Susan Lavender, Ph.D., M.P.H., Principal Investigator (2.7 academic and 0.9 summer months in years 1-5.)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Lavender is a Professor in the College of Public Health at Land-Grant State University (LGSU). She will direct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phases of the research. This includes hiring and training of LGSU and county staff to administer the baseline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survey, deliver protocols, and insure fidelity to the implementation of the intervention and its evaluation, including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supervision of saliva cotinine analyses as well as overall supervision of the project and personnel. Dr.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Lavender has conducted tobacco-related research for the past 20 years, most recently in Appalachian counties.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 research has focused on nicotine dependence and treatment, especially among underserved groups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smokers.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Amy White, Ph.D., Co-investigator (effort = 1.2 calendar months in years 1-4 and 1.8 months in year 5). </w:t>
      </w:r>
      <w:r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White is an Associate Professor in the College of Public Health at LGSU. As an epidemiologist, she will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responsible for the administration of surveys (baseline and follow-up) and will be responsible for analyses related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Aim 2, which involve analytic methods for observational studies in a complex study design. She will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participate in the preparation of project reports and publications. Dr. White and Dr. Lavender have collaborated in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past on tobacco-related research studies that included longitudinal data collection and analyses.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Sue Blu, Ph.D., Co-investigator (effort = 0.45 academic and 0.15 summer months years 1-5). </w:t>
      </w:r>
      <w:r>
        <w:rPr>
          <w:rFonts w:ascii="Arial" w:hAnsi="Arial" w:cs="Arial"/>
        </w:rPr>
        <w:t>Dr. Blu is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Professor in the Department of Geography at L-GSU. She will supervise the design, implementation, and GIS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 analyses for Specific Aim 3 (Exploratory Aim). She will train participants to complete the travel diary and will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supervise the Graduate Research Associate tasks related to geocoding of databases, collection of geocoding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county site, and ArcGIS® data analyses. Dr. Blu has extensive experience with the construction of measures 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analyses of Geographical Information Systems.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 Director TBN (effort = 12 calendar months in years 1-5). </w:t>
      </w:r>
      <w:r>
        <w:rPr>
          <w:rFonts w:ascii="Arial" w:hAnsi="Arial" w:cs="Arial"/>
        </w:rPr>
        <w:t>The project director will assist Dr.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Lavender with the overall management of the project and will travel to the sites to coordinate ongoing project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activities with the local county teams. The Project Director will assume responsibility for daily management of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project personnel and coordination between the investigators, the staff, and protocol populations. The Project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 will train the lay health educators to conduct the intervention and will supervise collection of process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evaluation data.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Nurses TBN (effort = 9 calendar months in years 1-5). </w:t>
      </w:r>
      <w:r>
        <w:rPr>
          <w:rFonts w:ascii="Arial" w:hAnsi="Arial" w:cs="Arial"/>
        </w:rPr>
        <w:t>Three 0.25 FTE nurses will serve as case-managers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will be responsible for supervising the implementation of the protocol by the lay educator staff in the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intervention counties. The nurses will meet weekly with Extension Agents and Lay Educators to review progress.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Lay Health Educators TBN (effort = 9 calendar months years 1-5). </w:t>
      </w:r>
      <w:r>
        <w:rPr>
          <w:rFonts w:ascii="Arial" w:hAnsi="Arial" w:cs="Arial"/>
        </w:rPr>
        <w:t>Three 0.25 FTE lay educators will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participate in the implementation of the intervention group protocol. The lay educators will receive four weeks of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training to deliver the tobacco intervention. Lay educators will also participate in the pilot testing of the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intervention. The lay educators will be chosen in consultation with the county Extension Agents.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Graduate Research Associate (effort=6 months in years 1-5). </w:t>
      </w:r>
      <w:r>
        <w:rPr>
          <w:rFonts w:ascii="Arial" w:hAnsi="Arial" w:cs="Arial"/>
        </w:rPr>
        <w:t>The Graduate Research Associate (a doctoral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 in Epidemiology) will assist with survey data-related tasks. These include attention to data quality, entry,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management, and analyses.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Fringe benefits </w:t>
      </w:r>
      <w:r>
        <w:rPr>
          <w:rFonts w:ascii="Arial" w:hAnsi="Arial" w:cs="Arial"/>
        </w:rPr>
        <w:t>rates are 28.0% for faculty academic year, 14.6% for faculty summer and 36.7% for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administrative and professional staff. Personnel costs are adjusted 3% per year for inflation.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8CC" w:rsidRDefault="009038CC" w:rsidP="00903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Travel</w:t>
      </w:r>
    </w:p>
    <w:p w:rsidR="009038CC" w:rsidRDefault="009038CC" w:rsidP="00903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Local travel at $0.55/mile reimbursement for: training, data collection and implementation of the intervention for Specific Aim 1 and geocoding activities for Specific Aim 3 (Exploratory Aim). In addition, project staff from Columbus will travel periodically for meetings, training of lay health educators, etc. The project director will travel monthly to sites. </w:t>
      </w:r>
      <w:r>
        <w:rPr>
          <w:rFonts w:ascii="Arial" w:hAnsi="Arial" w:cs="Arial"/>
          <w:b/>
          <w:bCs/>
        </w:rPr>
        <w:t>($5,550 for years 1-3, $2,755 in year 4, $8,325 in year 5)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Consultants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Harry Black, Ph.D., has conducted tobacco intervention research for over 30 years. He has vast experience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clinical trials of cessation among clinical and community-based groups of </w:t>
      </w:r>
      <w:proofErr w:type="gramStart"/>
      <w:r>
        <w:rPr>
          <w:rFonts w:ascii="Arial" w:hAnsi="Arial" w:cs="Arial"/>
        </w:rPr>
        <w:t>smokers, and</w:t>
      </w:r>
      <w:proofErr w:type="gramEnd"/>
      <w:r>
        <w:rPr>
          <w:rFonts w:ascii="Arial" w:hAnsi="Arial" w:cs="Arial"/>
        </w:rPr>
        <w:t xml:space="preserve"> will share his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expertise via a consulting arrangement. Dr. Black will travel to LGSU in years 1 and 5 to consult on the project.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Expenses include airfare, one-night lodging, and honorarium. </w:t>
      </w:r>
      <w:r>
        <w:rPr>
          <w:rFonts w:ascii="Arial" w:hAnsi="Arial" w:cs="Arial"/>
          <w:b/>
          <w:bCs/>
        </w:rPr>
        <w:t>($2,000 in years 1 and 5)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Materials and Supplies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supplies include: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1) Purchase of six laptop computers at $2,000 each for use by each intervention lay health educator and each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interviewer. The laptops will allow direct entry of data collected by interviewers during baseline, end-of-treatment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(3 month) and 6 and 12 months and during implementation of the intervention protocol by lay educators </w:t>
      </w:r>
      <w:r>
        <w:rPr>
          <w:rFonts w:ascii="Arial" w:hAnsi="Arial" w:cs="Arial"/>
          <w:b/>
          <w:bCs/>
        </w:rPr>
        <w:t>($12,000</w:t>
      </w:r>
      <w:r w:rsidR="009038C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 year 1)</w:t>
      </w:r>
    </w:p>
    <w:p w:rsidR="009038CC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2) Nicotine replacement ($145 each for 708 participants. (</w:t>
      </w:r>
      <w:r>
        <w:rPr>
          <w:rFonts w:ascii="Arial" w:hAnsi="Arial" w:cs="Arial"/>
          <w:b/>
          <w:bCs/>
        </w:rPr>
        <w:t>$65,250 in year 1 and $37,410 in year 2)</w:t>
      </w:r>
      <w:r w:rsidR="009038CC">
        <w:rPr>
          <w:rFonts w:ascii="Arial" w:hAnsi="Arial" w:cs="Arial"/>
          <w:b/>
          <w:bCs/>
        </w:rPr>
        <w:t xml:space="preserve"> 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Tuition and Fees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Tuition for Graduate Research Associates is included at $3,689 per quarter in year 1 and inflated 6% per year in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years 2-5. </w:t>
      </w:r>
      <w:r>
        <w:rPr>
          <w:rFonts w:ascii="Arial" w:hAnsi="Arial" w:cs="Arial"/>
          <w:b/>
          <w:bCs/>
        </w:rPr>
        <w:t>($14,756 in year 1, $15,641 in year 2, $16,580 in year 3, $17,574 in year 4, $18,629 in year 5)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Incentives for 708 participants as follows: $25 at baseline; $10 at end of treatment/3 months; $10 at 6 months; and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$25 at 12 months. </w:t>
      </w:r>
      <w:r>
        <w:rPr>
          <w:rFonts w:ascii="Arial" w:hAnsi="Arial" w:cs="Arial"/>
          <w:b/>
          <w:bCs/>
        </w:rPr>
        <w:t>($10,620 in years 1-2, $16,520 in year 3, and $11,800 in year 5)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Cotinine analyses at $20/sample (n=797). (</w:t>
      </w:r>
      <w:r>
        <w:rPr>
          <w:rFonts w:ascii="Arial" w:hAnsi="Arial" w:cs="Arial"/>
          <w:b/>
          <w:bCs/>
        </w:rPr>
        <w:t>$15,940 in year 5)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Postage and photocopying of newsletter mailings to track participants and reduce attrition. (</w:t>
      </w:r>
      <w:r>
        <w:rPr>
          <w:rFonts w:ascii="Arial" w:hAnsi="Arial" w:cs="Arial"/>
          <w:b/>
          <w:bCs/>
        </w:rPr>
        <w:t>$1,000/year)</w:t>
      </w:r>
    </w:p>
    <w:p w:rsidR="009038CC" w:rsidRDefault="009038CC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Indirect Costs</w:t>
      </w:r>
    </w:p>
    <w:p w:rsidR="00690DF2" w:rsidRDefault="00690DF2" w:rsidP="0069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Land-Grant State University’s federally-negotiated indirect cost rate is 50% of modified total direct costs</w:t>
      </w:r>
      <w:r w:rsidR="00903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tuition, equipment, and subaward am</w:t>
      </w:r>
      <w:r w:rsidR="009038CC">
        <w:rPr>
          <w:rFonts w:ascii="Arial" w:hAnsi="Arial" w:cs="Arial"/>
        </w:rPr>
        <w:t>ounts over $25,000).</w:t>
      </w:r>
    </w:p>
    <w:sectPr w:rsidR="0069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F2"/>
    <w:rsid w:val="00562592"/>
    <w:rsid w:val="00690DF2"/>
    <w:rsid w:val="009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1262"/>
  <w15:chartTrackingRefBased/>
  <w15:docId w15:val="{CB05FEAE-BED2-4F6C-BD1A-69BE9D3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Swanton, Janis</dc:creator>
  <cp:keywords/>
  <dc:description/>
  <cp:lastModifiedBy>Swanton, Janis</cp:lastModifiedBy>
  <cp:revision>3</cp:revision>
  <dcterms:created xsi:type="dcterms:W3CDTF">2018-10-03T19:38:00Z</dcterms:created>
  <dcterms:modified xsi:type="dcterms:W3CDTF">2018-10-03T19:47:00Z</dcterms:modified>
</cp:coreProperties>
</file>